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DECEMBER 12</w:t>
      </w:r>
      <w:r>
        <w:rPr>
          <w:b w:val="1"/>
          <w:bCs w:val="1"/>
          <w:rtl w:val="0"/>
          <w:lang w:val="en-US"/>
        </w:rPr>
        <w:t xml:space="preserve">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 </w:t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NOVEMBER </w:t>
      </w:r>
      <w:r>
        <w:rPr>
          <w:u w:val="single"/>
          <w:rtl w:val="0"/>
          <w:lang w:val="en-US"/>
        </w:rPr>
        <w:t xml:space="preserve">2016 BOARD OF ALDERMEN MEETING 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IV.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  <w:t xml:space="preserve"> </w:t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AND CITY ENGINEER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>VI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Election Filing Procedures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Avenue Updates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Grant for Minturn Park Updates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Boards and Commissions Appreciation Dinner Reminder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Board of Adjustment M</w:t>
      </w:r>
      <w:r>
        <w:rPr>
          <w:rtl w:val="0"/>
          <w:lang w:val="en-US"/>
        </w:rPr>
        <w:t>eeting Report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6</w:t>
      </w:r>
      <w:r>
        <w:rPr>
          <w:rtl w:val="0"/>
          <w:lang w:val="en-US"/>
        </w:rPr>
        <w:t>. 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Text"/>
        <w:tabs>
          <w:tab w:val="left" w:pos="180"/>
        </w:tabs>
        <w:jc w:val="left"/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X.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  <w:lang w:val="en-US"/>
        </w:rPr>
        <w:t>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